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821" w:rsidRDefault="000D3451">
      <w:pPr>
        <w:spacing w:after="120"/>
        <w:jc w:val="center"/>
        <w:rPr>
          <w:rFonts w:hint="eastAsia"/>
        </w:rPr>
      </w:pPr>
      <w:bookmarkStart w:id="0" w:name="_GoBack"/>
      <w:bookmarkEnd w:id="0"/>
      <w:r>
        <w:rPr>
          <w:noProof/>
          <w:lang w:val="en-GB" w:eastAsia="en-GB"/>
        </w:rPr>
        <w:drawing>
          <wp:inline distT="0" distB="0" distL="0" distR="0">
            <wp:extent cx="749808" cy="778862"/>
            <wp:effectExtent l="0" t="0" r="0" b="0"/>
            <wp:docPr id="1" name="Picture 1" descr="Broomhill Infant School logo" title="Broomhill Infan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3).jpg"/>
                    <pic:cNvPicPr/>
                  </pic:nvPicPr>
                  <pic:blipFill>
                    <a:blip r:embed="rId8"/>
                    <a:stretch>
                      <a:fillRect/>
                    </a:stretch>
                  </pic:blipFill>
                  <pic:spPr>
                    <a:xfrm>
                      <a:off x="0" y="0"/>
                      <a:ext cx="749808" cy="778862"/>
                    </a:xfrm>
                    <a:prstGeom prst="rect">
                      <a:avLst/>
                    </a:prstGeom>
                  </pic:spPr>
                </pic:pic>
              </a:graphicData>
            </a:graphic>
          </wp:inline>
        </w:drawing>
      </w:r>
    </w:p>
    <w:p w:rsidR="00595821" w:rsidRDefault="000D3451">
      <w:pPr>
        <w:spacing w:after="120"/>
        <w:rPr>
          <w:rFonts w:hint="eastAsia"/>
        </w:rPr>
      </w:pPr>
      <w:r>
        <w:rPr>
          <w:rFonts w:ascii="Aptos Display" w:hAnsi="Aptos Display"/>
          <w:b/>
          <w:color w:val="3F6B45"/>
          <w:sz w:val="44"/>
        </w:rPr>
        <w:t>Allergy and Anaphylaxis Safety Policy</w:t>
      </w:r>
    </w:p>
    <w:p w:rsidR="00595821" w:rsidRDefault="000D3451">
      <w:pPr>
        <w:spacing w:after="120"/>
        <w:jc w:val="center"/>
        <w:rPr>
          <w:rFonts w:hint="eastAsia"/>
        </w:rPr>
      </w:pPr>
      <w:r>
        <w:rPr>
          <w:i/>
          <w:color w:val="505050"/>
          <w:sz w:val="22"/>
        </w:rPr>
        <w:t>Benedict's Law: essential information for staff, parents and carers</w:t>
      </w:r>
    </w:p>
    <w:p w:rsidR="00595821" w:rsidRDefault="00595821">
      <w:pPr>
        <w:spacing w:after="120"/>
        <w:rPr>
          <w:rFonts w:hint="eastAsia"/>
        </w:rPr>
      </w:pPr>
    </w:p>
    <w:tbl>
      <w:tblPr>
        <w:tblStyle w:val="TableGrid"/>
        <w:tblW w:w="0" w:type="auto"/>
        <w:tblLook w:val="04A0" w:firstRow="1" w:lastRow="0" w:firstColumn="1" w:lastColumn="0" w:noHBand="0" w:noVBand="1"/>
      </w:tblPr>
      <w:tblGrid>
        <w:gridCol w:w="9825"/>
      </w:tblGrid>
      <w:tr w:rsidR="00595821">
        <w:tc>
          <w:tcPr>
            <w:tcW w:w="9835" w:type="dxa"/>
            <w:shd w:val="clear" w:color="auto" w:fill="E8F1E8"/>
            <w:tcMar>
              <w:top w:w="120" w:type="dxa"/>
              <w:left w:w="150" w:type="dxa"/>
              <w:bottom w:w="120" w:type="dxa"/>
              <w:right w:w="150" w:type="dxa"/>
            </w:tcMar>
          </w:tcPr>
          <w:p w:rsidR="00595821" w:rsidRDefault="000D3451">
            <w:pPr>
              <w:rPr>
                <w:rFonts w:hint="eastAsia"/>
              </w:rPr>
            </w:pPr>
            <w:r>
              <w:rPr>
                <w:b/>
                <w:color w:val="3F6B45"/>
              </w:rPr>
              <w:t xml:space="preserve">Our aim  </w:t>
            </w:r>
            <w:r>
              <w:t>To reduce exposure to allergens, recognise reactions quickly and keep every child safe and included.</w:t>
            </w:r>
          </w:p>
        </w:tc>
      </w:tr>
    </w:tbl>
    <w:p w:rsidR="00595821" w:rsidRDefault="000D3451">
      <w:pPr>
        <w:pStyle w:val="Heading1"/>
      </w:pPr>
      <w:r>
        <w:t>Purpose</w:t>
      </w:r>
    </w:p>
    <w:p w:rsidR="00595821" w:rsidRDefault="000D3451">
      <w:pPr>
        <w:spacing w:after="120"/>
        <w:rPr>
          <w:rFonts w:hint="eastAsia"/>
        </w:rPr>
      </w:pPr>
      <w:r>
        <w:t xml:space="preserve">This policy explains </w:t>
      </w:r>
      <w:r>
        <w:t xml:space="preserve">Broomhill Infant School's allergy and anaphylaxis arrangements. It reflects the Department for Education's Allergy safety in schools statutory guidance (July 2026), commonly known as Benedict's Law. It applies to staff, governors, volunteers, catering and </w:t>
      </w:r>
      <w:r>
        <w:t>wraparound teams, pupils, parents and carers.</w:t>
      </w:r>
    </w:p>
    <w:p w:rsidR="00595821" w:rsidRDefault="000D3451">
      <w:pPr>
        <w:pStyle w:val="Heading1"/>
      </w:pPr>
      <w:r>
        <w:t>Our key arrangements</w:t>
      </w:r>
    </w:p>
    <w:p w:rsidR="00595821" w:rsidRDefault="000D3451">
      <w:pPr>
        <w:pStyle w:val="ListBullet"/>
        <w:rPr>
          <w:rFonts w:hint="eastAsia"/>
        </w:rPr>
      </w:pPr>
      <w:r>
        <w:t>The Headteacher is the named allergy-safety lead. The policy will be published and reviewed annually and after any serious incident or near miss.</w:t>
      </w:r>
    </w:p>
    <w:p w:rsidR="00595821" w:rsidRDefault="000D3451">
      <w:pPr>
        <w:pStyle w:val="ListBullet"/>
        <w:rPr>
          <w:rFonts w:hint="eastAsia"/>
        </w:rPr>
      </w:pPr>
      <w:r>
        <w:t>All staff working while children are on sit</w:t>
      </w:r>
      <w:r>
        <w:t>e will complete allergy-awareness and emergency-response training at least annually. New, supply and temporary staff will be briefed before supervising pupils.</w:t>
      </w:r>
    </w:p>
    <w:p w:rsidR="00595821" w:rsidRDefault="000D3451">
      <w:pPr>
        <w:pStyle w:val="ListBullet"/>
        <w:rPr>
          <w:rFonts w:hint="eastAsia"/>
        </w:rPr>
      </w:pPr>
      <w:r>
        <w:t>Children who need individual support will have an Individual Healthcare Plan (IHP) with their cu</w:t>
      </w:r>
      <w:r>
        <w:t>rrent Allergy Action Plan and/or Asthma Action Plan attached.</w:t>
      </w:r>
    </w:p>
    <w:p w:rsidR="00595821" w:rsidRDefault="000D3451">
      <w:pPr>
        <w:pStyle w:val="ListBullet"/>
        <w:rPr>
          <w:rFonts w:hint="eastAsia"/>
        </w:rPr>
      </w:pPr>
      <w:r>
        <w:t>Relevant allergy information will be shared with staff who need it, including class, catering, wraparound and trip staff.</w:t>
      </w:r>
    </w:p>
    <w:p w:rsidR="00595821" w:rsidRDefault="000D3451">
      <w:pPr>
        <w:pStyle w:val="Heading1"/>
      </w:pPr>
      <w:r>
        <w:t>Preventing allergic reactions</w:t>
      </w:r>
    </w:p>
    <w:p w:rsidR="00595821" w:rsidRDefault="000D3451">
      <w:pPr>
        <w:pStyle w:val="ListBullet"/>
        <w:rPr>
          <w:rFonts w:hint="eastAsia"/>
        </w:rPr>
      </w:pPr>
      <w:r>
        <w:t>Staff will check allergy information befor</w:t>
      </w:r>
      <w:r>
        <w:t>e food, cooking, sensory, craft, animal, celebration and off-site activities.</w:t>
      </w:r>
    </w:p>
    <w:p w:rsidR="00595821" w:rsidRDefault="000D3451">
      <w:pPr>
        <w:pStyle w:val="ListBullet"/>
        <w:rPr>
          <w:rFonts w:hint="eastAsia"/>
        </w:rPr>
      </w:pPr>
      <w:r>
        <w:t>Children must not share food, drinks, cups, cutlery or utensils. Hands and eating areas will be cleaned appropriately.</w:t>
      </w:r>
    </w:p>
    <w:p w:rsidR="00595821" w:rsidRDefault="000D3451">
      <w:pPr>
        <w:pStyle w:val="ListBullet"/>
        <w:rPr>
          <w:rFonts w:hint="eastAsia"/>
        </w:rPr>
      </w:pPr>
      <w:r>
        <w:t>Parents/carers must agree shared food with school in advanc</w:t>
      </w:r>
      <w:r>
        <w:t>e and may be asked to provide ingredients or packaging.</w:t>
      </w:r>
    </w:p>
    <w:p w:rsidR="00595821" w:rsidRDefault="000D3451">
      <w:pPr>
        <w:pStyle w:val="ListBullet"/>
        <w:rPr>
          <w:rFonts w:hint="eastAsia"/>
        </w:rPr>
      </w:pPr>
      <w:r>
        <w:t>The school will use proportionate controls for known allergens. We will not claim to be completely 'nut free' or 'allergen free'.</w:t>
      </w:r>
    </w:p>
    <w:p w:rsidR="00595821" w:rsidRDefault="000D3451">
      <w:pPr>
        <w:pStyle w:val="ListBullet"/>
        <w:rPr>
          <w:rFonts w:hint="eastAsia"/>
        </w:rPr>
      </w:pPr>
      <w:r>
        <w:t>Allergy-related teasing, threats or deliberate exposure will be treate</w:t>
      </w:r>
      <w:r>
        <w:t>d seriously under the Behaviour and Safeguarding policies.</w:t>
      </w:r>
    </w:p>
    <w:p w:rsidR="00595821" w:rsidRDefault="000D3451">
      <w:pPr>
        <w:pStyle w:val="Heading1"/>
      </w:pPr>
      <w:r>
        <w:t>Medication and the two school emergency AAIs</w:t>
      </w:r>
    </w:p>
    <w:p w:rsidR="00595821" w:rsidRDefault="000D3451">
      <w:pPr>
        <w:pStyle w:val="ListBullet"/>
        <w:rPr>
          <w:rFonts w:hint="eastAsia"/>
        </w:rPr>
      </w:pPr>
      <w:r>
        <w:t>Parents/carers must provide the child's current action plan and two prescribed adrenaline devices where these have been prescribed. These must be in dat</w:t>
      </w:r>
      <w:r>
        <w:t>e, labelled and quickly accessible.</w:t>
      </w:r>
    </w:p>
    <w:p w:rsidR="00595821" w:rsidRDefault="000D3451">
      <w:pPr>
        <w:pStyle w:val="ListBullet"/>
        <w:rPr>
          <w:rFonts w:hint="eastAsia"/>
        </w:rPr>
      </w:pPr>
      <w:r>
        <w:t>Broomhill currently holds two emergency adrenaline auto-injectors (AAIs) together in a clearly labelled kit in the First Aid Room.</w:t>
      </w:r>
    </w:p>
    <w:p w:rsidR="00595821" w:rsidRDefault="000D3451">
      <w:pPr>
        <w:pStyle w:val="ListBullet"/>
        <w:rPr>
          <w:rFonts w:hint="eastAsia"/>
        </w:rPr>
      </w:pPr>
      <w:r>
        <w:t xml:space="preserve">The kit must remain unlocked and accessible to staff, but out of children's reach. It </w:t>
      </w:r>
      <w:r>
        <w:t>must be stored at room temperature, away from heat and sunlight, and must not be refrigerated.</w:t>
      </w:r>
    </w:p>
    <w:p w:rsidR="00595821" w:rsidRDefault="000D3451">
      <w:pPr>
        <w:pStyle w:val="ListBullet"/>
        <w:rPr>
          <w:rFonts w:hint="eastAsia"/>
        </w:rPr>
      </w:pPr>
      <w:r>
        <w:t>The Business Manager or first-aid lead will check the kit monthly and after use, recording the dose and expiry dates and arranging replacement.</w:t>
      </w:r>
    </w:p>
    <w:p w:rsidR="00595821" w:rsidRDefault="000D3451">
      <w:pPr>
        <w:pStyle w:val="ListBullet"/>
        <w:rPr>
          <w:rFonts w:hint="eastAsia"/>
        </w:rPr>
      </w:pPr>
      <w:r>
        <w:t>The school AAIs a</w:t>
      </w:r>
      <w:r>
        <w:t xml:space="preserve">re a backup and do not replace a child's own prescribed devices. The correct paired dose must be available for the children on site: normally 150 micrograms for under-sixes and 300 micrograms for over-sixes. Provision will be reviewed for Broomhill's full </w:t>
      </w:r>
      <w:r>
        <w:t>age range.</w:t>
      </w:r>
    </w:p>
    <w:p w:rsidR="00595821" w:rsidRDefault="000D3451">
      <w:pPr>
        <w:pStyle w:val="ListBullet"/>
        <w:rPr>
          <w:rFonts w:hint="eastAsia"/>
        </w:rPr>
      </w:pPr>
      <w:r>
        <w:lastRenderedPageBreak/>
        <w:t>Adrenaline must be able to reach any child on site within five minutes. Additional or repositioned kits will be provided if the site risk assessment shows this is needed.</w:t>
      </w:r>
    </w:p>
    <w:p w:rsidR="00595821" w:rsidRDefault="000D3451">
      <w:pPr>
        <w:pStyle w:val="Heading1"/>
      </w:pPr>
      <w:r>
        <w:t>Signs of anaphylaxis</w:t>
      </w:r>
    </w:p>
    <w:p w:rsidR="00595821" w:rsidRDefault="000D3451">
      <w:pPr>
        <w:spacing w:after="120"/>
        <w:rPr>
          <w:rFonts w:hint="eastAsia"/>
        </w:rPr>
      </w:pPr>
      <w:r>
        <w:t xml:space="preserve">Anaphylaxis is a life-threatening reaction affecting </w:t>
      </w:r>
      <w:r>
        <w:t>Airway, Breathing or Circulation. A rash may not be present.</w:t>
      </w:r>
    </w:p>
    <w:tbl>
      <w:tblPr>
        <w:tblStyle w:val="TableGrid"/>
        <w:tblW w:w="0" w:type="auto"/>
        <w:tblLayout w:type="fixed"/>
        <w:tblLook w:val="04A0" w:firstRow="1" w:lastRow="0" w:firstColumn="1" w:lastColumn="0" w:noHBand="0" w:noVBand="1"/>
      </w:tblPr>
      <w:tblGrid>
        <w:gridCol w:w="3125"/>
        <w:gridCol w:w="3125"/>
        <w:gridCol w:w="3110"/>
      </w:tblGrid>
      <w:tr w:rsidR="00595821">
        <w:tc>
          <w:tcPr>
            <w:tcW w:w="3125" w:type="dxa"/>
            <w:shd w:val="clear" w:color="auto" w:fill="E8F1E8"/>
            <w:tcMar>
              <w:top w:w="110" w:type="dxa"/>
              <w:left w:w="120" w:type="dxa"/>
              <w:bottom w:w="110" w:type="dxa"/>
              <w:right w:w="120" w:type="dxa"/>
            </w:tcMar>
            <w:vAlign w:val="center"/>
          </w:tcPr>
          <w:p w:rsidR="00595821" w:rsidRDefault="000D3451">
            <w:pPr>
              <w:rPr>
                <w:rFonts w:hint="eastAsia"/>
              </w:rPr>
            </w:pPr>
            <w:r>
              <w:rPr>
                <w:b/>
                <w:color w:val="3F6B45"/>
              </w:rPr>
              <w:t>AIRWAY</w:t>
            </w:r>
            <w:r>
              <w:rPr>
                <w:b/>
                <w:color w:val="3F6B45"/>
              </w:rPr>
              <w:br/>
            </w:r>
            <w:r>
              <w:t>Throat or tongue swelling, hoarse voice, difficulty swallowing</w:t>
            </w:r>
          </w:p>
        </w:tc>
        <w:tc>
          <w:tcPr>
            <w:tcW w:w="3125" w:type="dxa"/>
            <w:shd w:val="clear" w:color="auto" w:fill="E8F1E8"/>
            <w:tcMar>
              <w:top w:w="110" w:type="dxa"/>
              <w:left w:w="120" w:type="dxa"/>
              <w:bottom w:w="110" w:type="dxa"/>
              <w:right w:w="120" w:type="dxa"/>
            </w:tcMar>
            <w:vAlign w:val="center"/>
          </w:tcPr>
          <w:p w:rsidR="00595821" w:rsidRDefault="000D3451">
            <w:pPr>
              <w:rPr>
                <w:rFonts w:hint="eastAsia"/>
              </w:rPr>
            </w:pPr>
            <w:r>
              <w:rPr>
                <w:b/>
                <w:color w:val="3F6B45"/>
              </w:rPr>
              <w:t>BREATHING</w:t>
            </w:r>
            <w:r>
              <w:rPr>
                <w:b/>
                <w:color w:val="3F6B45"/>
              </w:rPr>
              <w:br/>
            </w:r>
            <w:r>
              <w:t>Sudden wheeze, persistent cough, noisy or difficult breathing</w:t>
            </w:r>
          </w:p>
        </w:tc>
        <w:tc>
          <w:tcPr>
            <w:tcW w:w="3110" w:type="dxa"/>
            <w:shd w:val="clear" w:color="auto" w:fill="E8F1E8"/>
            <w:tcMar>
              <w:top w:w="110" w:type="dxa"/>
              <w:left w:w="120" w:type="dxa"/>
              <w:bottom w:w="110" w:type="dxa"/>
              <w:right w:w="120" w:type="dxa"/>
            </w:tcMar>
            <w:vAlign w:val="center"/>
          </w:tcPr>
          <w:p w:rsidR="00595821" w:rsidRDefault="000D3451">
            <w:pPr>
              <w:rPr>
                <w:rFonts w:hint="eastAsia"/>
              </w:rPr>
            </w:pPr>
            <w:r>
              <w:rPr>
                <w:b/>
                <w:color w:val="3F6B45"/>
              </w:rPr>
              <w:t>CIRCULATION</w:t>
            </w:r>
            <w:r>
              <w:rPr>
                <w:b/>
                <w:color w:val="3F6B45"/>
              </w:rPr>
              <w:br/>
            </w:r>
            <w:r>
              <w:t>Dizziness, faintness, confusion, pale cla</w:t>
            </w:r>
            <w:r>
              <w:t>mmy skin or collapse</w:t>
            </w:r>
          </w:p>
        </w:tc>
      </w:tr>
    </w:tbl>
    <w:p w:rsidR="00595821" w:rsidRDefault="000D3451">
      <w:pPr>
        <w:pStyle w:val="Heading1"/>
      </w:pPr>
      <w:r>
        <w:t>Emergency response</w:t>
      </w:r>
    </w:p>
    <w:tbl>
      <w:tblPr>
        <w:tblStyle w:val="TableGrid"/>
        <w:tblW w:w="0" w:type="auto"/>
        <w:tblLook w:val="04A0" w:firstRow="1" w:lastRow="0" w:firstColumn="1" w:lastColumn="0" w:noHBand="0" w:noVBand="1"/>
      </w:tblPr>
      <w:tblGrid>
        <w:gridCol w:w="9825"/>
      </w:tblGrid>
      <w:tr w:rsidR="00595821">
        <w:tc>
          <w:tcPr>
            <w:tcW w:w="9835" w:type="dxa"/>
            <w:shd w:val="clear" w:color="auto" w:fill="FFF2CC"/>
            <w:tcMar>
              <w:top w:w="110" w:type="dxa"/>
              <w:left w:w="140" w:type="dxa"/>
              <w:bottom w:w="110" w:type="dxa"/>
              <w:right w:w="140" w:type="dxa"/>
            </w:tcMar>
          </w:tcPr>
          <w:p w:rsidR="00595821" w:rsidRDefault="000D3451">
            <w:pPr>
              <w:rPr>
                <w:rFonts w:hint="eastAsia"/>
              </w:rPr>
            </w:pPr>
            <w:r>
              <w:rPr>
                <w:b/>
                <w:color w:val="9C5700"/>
              </w:rPr>
              <w:t xml:space="preserve">ACT IMMEDIATELY: </w:t>
            </w:r>
            <w:r>
              <w:t>If anaphylaxis is suspected, give adrenaline without delay. If in doubt, give it.</w:t>
            </w:r>
          </w:p>
        </w:tc>
      </w:tr>
    </w:tbl>
    <w:p w:rsidR="00595821" w:rsidRDefault="000D3451">
      <w:pPr>
        <w:pStyle w:val="ListNumber"/>
        <w:rPr>
          <w:rFonts w:hint="eastAsia"/>
        </w:rPr>
      </w:pPr>
      <w:r>
        <w:t>Call for help and bring the child's own devices and the emergency kit to the child.</w:t>
      </w:r>
    </w:p>
    <w:p w:rsidR="00595821" w:rsidRDefault="000D3451">
      <w:pPr>
        <w:pStyle w:val="ListNumber"/>
        <w:rPr>
          <w:rFonts w:hint="eastAsia"/>
        </w:rPr>
      </w:pPr>
      <w:r>
        <w:t xml:space="preserve">Lay the child flat with legs </w:t>
      </w:r>
      <w:r>
        <w:t>raised. If breathing is difficult, let them sit up with legs outstretched. Do not let them stand or walk.</w:t>
      </w:r>
    </w:p>
    <w:p w:rsidR="00595821" w:rsidRDefault="000D3451">
      <w:pPr>
        <w:pStyle w:val="ListNumber"/>
        <w:rPr>
          <w:rFonts w:hint="eastAsia"/>
        </w:rPr>
      </w:pPr>
      <w:r>
        <w:t>Give the child's prescribed device immediately. If it is unavailable, has misfired or there is no prescribed device, use the correct-dose school emerg</w:t>
      </w:r>
      <w:r>
        <w:t>ency AAI.</w:t>
      </w:r>
    </w:p>
    <w:p w:rsidR="00595821" w:rsidRDefault="000D3451">
      <w:pPr>
        <w:pStyle w:val="ListNumber"/>
        <w:rPr>
          <w:rFonts w:hint="eastAsia"/>
        </w:rPr>
      </w:pPr>
      <w:r>
        <w:t>Call 999 immediately and say 'anaphylaxis'. Do not wait to contact parents before giving adrenaline.</w:t>
      </w:r>
    </w:p>
    <w:p w:rsidR="00595821" w:rsidRDefault="000D3451">
      <w:pPr>
        <w:pStyle w:val="ListNumber"/>
        <w:rPr>
          <w:rFonts w:hint="eastAsia"/>
        </w:rPr>
      </w:pPr>
      <w:r>
        <w:t>If there is no improvement after five minutes, give the second appropriate device. Never leave the child alone.</w:t>
      </w:r>
    </w:p>
    <w:p w:rsidR="00595821" w:rsidRDefault="000D3451">
      <w:pPr>
        <w:pStyle w:val="ListNumber"/>
        <w:rPr>
          <w:rFonts w:hint="eastAsia"/>
        </w:rPr>
      </w:pPr>
      <w:r>
        <w:t>Inform parents/carers, record the</w:t>
      </w:r>
      <w:r>
        <w:t xml:space="preserve"> dose and time, and give used devices to the ambulance crew. The child must be assessed in hospital.</w:t>
      </w:r>
    </w:p>
    <w:p w:rsidR="00595821" w:rsidRDefault="000D3451">
      <w:pPr>
        <w:pStyle w:val="Heading1"/>
      </w:pPr>
      <w:r>
        <w:t>Mild reactions</w:t>
      </w:r>
    </w:p>
    <w:p w:rsidR="00595821" w:rsidRDefault="000D3451">
      <w:pPr>
        <w:spacing w:after="120"/>
        <w:rPr>
          <w:rFonts w:hint="eastAsia"/>
        </w:rPr>
      </w:pPr>
      <w:r>
        <w:t>Follow the child's action plan, give only authorised medication and do not leave the child alone. Inform parents/carers and monitor for at l</w:t>
      </w:r>
      <w:r>
        <w:t>east 60 minutes. If Airway, Breathing or Circulation symptoms develop, follow the emergency response above.</w:t>
      </w:r>
    </w:p>
    <w:p w:rsidR="00595821" w:rsidRDefault="000D3451">
      <w:pPr>
        <w:pStyle w:val="Heading1"/>
      </w:pPr>
      <w:r>
        <w:t>Trips, incidents and near misses</w:t>
      </w:r>
    </w:p>
    <w:p w:rsidR="00595821" w:rsidRDefault="000D3451">
      <w:pPr>
        <w:pStyle w:val="ListBullet"/>
        <w:rPr>
          <w:rFonts w:hint="eastAsia"/>
        </w:rPr>
      </w:pPr>
      <w:r>
        <w:t>Trips and clubs must include a risk assessment, trained staff, the child's action plan and prescribed medication. A</w:t>
      </w:r>
      <w:r>
        <w:t xml:space="preserve"> child must not leave without their required emergency medication.</w:t>
      </w:r>
    </w:p>
    <w:p w:rsidR="00595821" w:rsidRDefault="000D3451">
      <w:pPr>
        <w:pStyle w:val="ListBullet"/>
        <w:rPr>
          <w:rFonts w:hint="eastAsia"/>
        </w:rPr>
      </w:pPr>
      <w:r>
        <w:t>All reactions, uses of adrenaline, medication errors, access failures and near misses must be reported to the Headteacher, recorded and shared promptly with parents/carers.</w:t>
      </w:r>
    </w:p>
    <w:p w:rsidR="00595821" w:rsidRDefault="000D3451">
      <w:pPr>
        <w:pStyle w:val="ListBullet"/>
        <w:rPr>
          <w:rFonts w:hint="eastAsia"/>
        </w:rPr>
      </w:pPr>
      <w:r>
        <w:t xml:space="preserve">The Headteacher </w:t>
      </w:r>
      <w:r>
        <w:t>will review what happened and update the IHP, training, storage or school arrangements where needed.</w:t>
      </w:r>
    </w:p>
    <w:p w:rsidR="00595821" w:rsidRDefault="000D3451">
      <w:pPr>
        <w:pStyle w:val="Heading1"/>
      </w:pPr>
      <w:r>
        <w:t>Parents and carers</w:t>
      </w:r>
    </w:p>
    <w:p w:rsidR="00595821" w:rsidRDefault="000D3451">
      <w:pPr>
        <w:spacing w:after="120"/>
        <w:rPr>
          <w:rFonts w:hint="eastAsia"/>
        </w:rPr>
      </w:pPr>
      <w:r>
        <w:t>Tell school immediately about a diagnosed or suspected allergy, previous reaction, prescribed adrenaline or asthma medication, or any ch</w:t>
      </w:r>
      <w:r>
        <w:t>ange. Provide current clinical plans and in-date medication, work with school on the IHP, and raise any concern or near miss promptly.</w:t>
      </w:r>
    </w:p>
    <w:p w:rsidR="00595821" w:rsidRDefault="000D3451">
      <w:pPr>
        <w:pStyle w:val="Heading1"/>
      </w:pPr>
      <w:r>
        <w:t>Document control</w:t>
      </w:r>
    </w:p>
    <w:tbl>
      <w:tblPr>
        <w:tblStyle w:val="TableGrid"/>
        <w:tblW w:w="0" w:type="auto"/>
        <w:tblLayout w:type="fixed"/>
        <w:tblLook w:val="04A0" w:firstRow="1" w:lastRow="0" w:firstColumn="1" w:lastColumn="0" w:noHBand="0" w:noVBand="1"/>
      </w:tblPr>
      <w:tblGrid>
        <w:gridCol w:w="1656"/>
        <w:gridCol w:w="3024"/>
        <w:gridCol w:w="1656"/>
        <w:gridCol w:w="3024"/>
      </w:tblGrid>
      <w:tr w:rsidR="00595821">
        <w:tc>
          <w:tcPr>
            <w:tcW w:w="1656" w:type="dxa"/>
            <w:shd w:val="clear" w:color="auto" w:fill="E8F1E8"/>
            <w:tcMar>
              <w:top w:w="90" w:type="dxa"/>
              <w:left w:w="120" w:type="dxa"/>
              <w:bottom w:w="90" w:type="dxa"/>
              <w:right w:w="120" w:type="dxa"/>
            </w:tcMar>
            <w:vAlign w:val="center"/>
          </w:tcPr>
          <w:p w:rsidR="00595821" w:rsidRDefault="000D3451">
            <w:pPr>
              <w:rPr>
                <w:rFonts w:hint="eastAsia"/>
              </w:rPr>
            </w:pPr>
            <w:r>
              <w:rPr>
                <w:b/>
                <w:color w:val="3F6B45"/>
              </w:rPr>
              <w:t>Policy lead</w:t>
            </w:r>
          </w:p>
        </w:tc>
        <w:tc>
          <w:tcPr>
            <w:tcW w:w="3024" w:type="dxa"/>
            <w:tcMar>
              <w:top w:w="90" w:type="dxa"/>
              <w:left w:w="120" w:type="dxa"/>
              <w:bottom w:w="90" w:type="dxa"/>
              <w:right w:w="120" w:type="dxa"/>
            </w:tcMar>
            <w:vAlign w:val="center"/>
          </w:tcPr>
          <w:p w:rsidR="00595821" w:rsidRDefault="000D3451">
            <w:pPr>
              <w:rPr>
                <w:rFonts w:hint="eastAsia"/>
              </w:rPr>
            </w:pPr>
            <w:r>
              <w:t>Headteacher</w:t>
            </w:r>
          </w:p>
        </w:tc>
        <w:tc>
          <w:tcPr>
            <w:tcW w:w="1656" w:type="dxa"/>
            <w:shd w:val="clear" w:color="auto" w:fill="E8F1E8"/>
            <w:tcMar>
              <w:top w:w="90" w:type="dxa"/>
              <w:left w:w="120" w:type="dxa"/>
              <w:bottom w:w="90" w:type="dxa"/>
              <w:right w:w="120" w:type="dxa"/>
            </w:tcMar>
            <w:vAlign w:val="center"/>
          </w:tcPr>
          <w:p w:rsidR="00595821" w:rsidRDefault="000D3451">
            <w:pPr>
              <w:rPr>
                <w:rFonts w:hint="eastAsia"/>
              </w:rPr>
            </w:pPr>
            <w:r>
              <w:rPr>
                <w:b/>
                <w:color w:val="3F6B45"/>
              </w:rPr>
              <w:t>Approved by</w:t>
            </w:r>
          </w:p>
        </w:tc>
        <w:tc>
          <w:tcPr>
            <w:tcW w:w="3024" w:type="dxa"/>
            <w:tcMar>
              <w:top w:w="90" w:type="dxa"/>
              <w:left w:w="120" w:type="dxa"/>
              <w:bottom w:w="90" w:type="dxa"/>
              <w:right w:w="120" w:type="dxa"/>
            </w:tcMar>
            <w:vAlign w:val="center"/>
          </w:tcPr>
          <w:p w:rsidR="00595821" w:rsidRDefault="000D3451">
            <w:pPr>
              <w:rPr>
                <w:rFonts w:hint="eastAsia"/>
              </w:rPr>
            </w:pPr>
            <w:r>
              <w:t>Governing Body</w:t>
            </w:r>
          </w:p>
        </w:tc>
      </w:tr>
      <w:tr w:rsidR="00595821">
        <w:tc>
          <w:tcPr>
            <w:tcW w:w="1656" w:type="dxa"/>
            <w:shd w:val="clear" w:color="auto" w:fill="E8F1E8"/>
            <w:tcMar>
              <w:top w:w="90" w:type="dxa"/>
              <w:left w:w="120" w:type="dxa"/>
              <w:bottom w:w="90" w:type="dxa"/>
              <w:right w:w="120" w:type="dxa"/>
            </w:tcMar>
            <w:vAlign w:val="center"/>
          </w:tcPr>
          <w:p w:rsidR="00595821" w:rsidRDefault="000D3451">
            <w:pPr>
              <w:rPr>
                <w:rFonts w:hint="eastAsia"/>
              </w:rPr>
            </w:pPr>
            <w:r>
              <w:rPr>
                <w:b/>
                <w:color w:val="3F6B45"/>
              </w:rPr>
              <w:t>Review</w:t>
            </w:r>
          </w:p>
        </w:tc>
        <w:tc>
          <w:tcPr>
            <w:tcW w:w="3024" w:type="dxa"/>
            <w:tcMar>
              <w:top w:w="90" w:type="dxa"/>
              <w:left w:w="120" w:type="dxa"/>
              <w:bottom w:w="90" w:type="dxa"/>
              <w:right w:w="120" w:type="dxa"/>
            </w:tcMar>
            <w:vAlign w:val="center"/>
          </w:tcPr>
          <w:p w:rsidR="00595821" w:rsidRDefault="000D3451">
            <w:pPr>
              <w:rPr>
                <w:rFonts w:hint="eastAsia"/>
              </w:rPr>
            </w:pPr>
            <w:r>
              <w:t>Annual / after incidents</w:t>
            </w:r>
          </w:p>
        </w:tc>
        <w:tc>
          <w:tcPr>
            <w:tcW w:w="1656" w:type="dxa"/>
            <w:shd w:val="clear" w:color="auto" w:fill="E8F1E8"/>
            <w:tcMar>
              <w:top w:w="90" w:type="dxa"/>
              <w:left w:w="120" w:type="dxa"/>
              <w:bottom w:w="90" w:type="dxa"/>
              <w:right w:w="120" w:type="dxa"/>
            </w:tcMar>
            <w:vAlign w:val="center"/>
          </w:tcPr>
          <w:p w:rsidR="00595821" w:rsidRDefault="000D3451">
            <w:pPr>
              <w:rPr>
                <w:rFonts w:hint="eastAsia"/>
              </w:rPr>
            </w:pPr>
            <w:r>
              <w:rPr>
                <w:b/>
                <w:color w:val="3F6B45"/>
              </w:rPr>
              <w:t>Approval date</w:t>
            </w:r>
          </w:p>
        </w:tc>
        <w:tc>
          <w:tcPr>
            <w:tcW w:w="3024" w:type="dxa"/>
            <w:tcMar>
              <w:top w:w="90" w:type="dxa"/>
              <w:left w:w="120" w:type="dxa"/>
              <w:bottom w:w="90" w:type="dxa"/>
              <w:right w:w="120" w:type="dxa"/>
            </w:tcMar>
            <w:vAlign w:val="center"/>
          </w:tcPr>
          <w:p w:rsidR="00595821" w:rsidRDefault="000D3451">
            <w:pPr>
              <w:rPr>
                <w:rFonts w:hint="eastAsia"/>
              </w:rPr>
            </w:pPr>
            <w:r>
              <w:t>________________</w:t>
            </w:r>
          </w:p>
        </w:tc>
      </w:tr>
      <w:tr w:rsidR="00595821">
        <w:tc>
          <w:tcPr>
            <w:tcW w:w="1656" w:type="dxa"/>
            <w:shd w:val="clear" w:color="auto" w:fill="E8F1E8"/>
            <w:tcMar>
              <w:top w:w="90" w:type="dxa"/>
              <w:left w:w="120" w:type="dxa"/>
              <w:bottom w:w="90" w:type="dxa"/>
              <w:right w:w="120" w:type="dxa"/>
            </w:tcMar>
            <w:vAlign w:val="center"/>
          </w:tcPr>
          <w:p w:rsidR="00595821" w:rsidRDefault="000D3451">
            <w:pPr>
              <w:rPr>
                <w:rFonts w:hint="eastAsia"/>
              </w:rPr>
            </w:pPr>
            <w:r>
              <w:rPr>
                <w:b/>
                <w:color w:val="3F6B45"/>
              </w:rPr>
              <w:t>Applies to</w:t>
            </w:r>
          </w:p>
        </w:tc>
        <w:tc>
          <w:tcPr>
            <w:tcW w:w="3024" w:type="dxa"/>
            <w:tcMar>
              <w:top w:w="90" w:type="dxa"/>
              <w:left w:w="120" w:type="dxa"/>
              <w:bottom w:w="90" w:type="dxa"/>
              <w:right w:w="120" w:type="dxa"/>
            </w:tcMar>
            <w:vAlign w:val="center"/>
          </w:tcPr>
          <w:p w:rsidR="00595821" w:rsidRDefault="000D3451">
            <w:pPr>
              <w:rPr>
                <w:rFonts w:hint="eastAsia"/>
              </w:rPr>
            </w:pPr>
            <w:r>
              <w:t>Whole school community</w:t>
            </w:r>
          </w:p>
        </w:tc>
        <w:tc>
          <w:tcPr>
            <w:tcW w:w="1656" w:type="dxa"/>
            <w:shd w:val="clear" w:color="auto" w:fill="E8F1E8"/>
            <w:tcMar>
              <w:top w:w="90" w:type="dxa"/>
              <w:left w:w="120" w:type="dxa"/>
              <w:bottom w:w="90" w:type="dxa"/>
              <w:right w:w="120" w:type="dxa"/>
            </w:tcMar>
            <w:vAlign w:val="center"/>
          </w:tcPr>
          <w:p w:rsidR="00595821" w:rsidRDefault="000D3451">
            <w:pPr>
              <w:rPr>
                <w:rFonts w:hint="eastAsia"/>
              </w:rPr>
            </w:pPr>
            <w:r>
              <w:rPr>
                <w:b/>
                <w:color w:val="3F6B45"/>
              </w:rPr>
              <w:t>Next review</w:t>
            </w:r>
          </w:p>
        </w:tc>
        <w:tc>
          <w:tcPr>
            <w:tcW w:w="3024" w:type="dxa"/>
            <w:tcMar>
              <w:top w:w="90" w:type="dxa"/>
              <w:left w:w="120" w:type="dxa"/>
              <w:bottom w:w="90" w:type="dxa"/>
              <w:right w:w="120" w:type="dxa"/>
            </w:tcMar>
            <w:vAlign w:val="center"/>
          </w:tcPr>
          <w:p w:rsidR="00595821" w:rsidRDefault="000D3451">
            <w:pPr>
              <w:rPr>
                <w:rFonts w:hint="eastAsia"/>
              </w:rPr>
            </w:pPr>
            <w:r>
              <w:t>________________</w:t>
            </w:r>
          </w:p>
        </w:tc>
      </w:tr>
    </w:tbl>
    <w:p w:rsidR="000D3451" w:rsidRDefault="000D3451"/>
    <w:sectPr w:rsidR="000D3451" w:rsidSect="00034616">
      <w:footerReference w:type="default" r:id="rId9"/>
      <w:pgSz w:w="11909" w:h="16834"/>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451" w:rsidRDefault="000D3451">
      <w:pPr>
        <w:spacing w:after="0" w:line="240" w:lineRule="auto"/>
        <w:rPr>
          <w:rFonts w:hint="eastAsia"/>
        </w:rPr>
      </w:pPr>
      <w:r>
        <w:separator/>
      </w:r>
    </w:p>
  </w:endnote>
  <w:endnote w:type="continuationSeparator" w:id="0">
    <w:p w:rsidR="000D3451" w:rsidRDefault="000D345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21" w:rsidRDefault="000D3451">
    <w:pPr>
      <w:pStyle w:val="Footer"/>
      <w:jc w:val="center"/>
      <w:rPr>
        <w:rFonts w:hint="eastAsia"/>
      </w:rPr>
    </w:pPr>
    <w:r>
      <w:rPr>
        <w:color w:val="646464"/>
        <w:sz w:val="16"/>
      </w:rPr>
      <w:t>Broomhill Infant School | Nature, Nurture, Knowledge | Allergy and anaphylaxis safety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451" w:rsidRDefault="000D3451">
      <w:pPr>
        <w:spacing w:after="0" w:line="240" w:lineRule="auto"/>
        <w:rPr>
          <w:rFonts w:hint="eastAsia"/>
        </w:rPr>
      </w:pPr>
      <w:r>
        <w:separator/>
      </w:r>
    </w:p>
  </w:footnote>
  <w:footnote w:type="continuationSeparator" w:id="0">
    <w:p w:rsidR="000D3451" w:rsidRDefault="000D345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D3451"/>
    <w:rsid w:val="0015074B"/>
    <w:rsid w:val="0029639D"/>
    <w:rsid w:val="00326F90"/>
    <w:rsid w:val="00595821"/>
    <w:rsid w:val="00766C0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C2EC830-B09D-4CB1-9078-8F535CF0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4"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2F6337"/>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F633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D1C98-CBCE-4DE1-B80D-3B48FC66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Broomhill Infant School Allergy and Anaphylaxis Safety Policy</vt:lpstr>
    </vt:vector>
  </TitlesOfParts>
  <Manager/>
  <Company/>
  <LinksUpToDate>false</LinksUpToDate>
  <CharactersWithSpaces>5431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Broomhill Infant School Allergy and Anaphylaxis Safety Policy</dc:title>
  <dc:subject>Benedict's Law and allergy safety</dc:subject>
  <dc:creator>Broomhill Infant School</dc:creator>
  <cp:keywords/>
  <dc:description>generated by python-docx</dc:description>
  <cp:lastModifiedBy>Hayley Farthing</cp:lastModifiedBy>
  <cp:revision>2</cp:revision>
  <dcterms:created xsi:type="dcterms:W3CDTF">2026-08-20T11:36:00Z</dcterms:created>
  <dcterms:modified xsi:type="dcterms:W3CDTF">2026-08-20T11:36:00Z</dcterms:modified>
  <cp:category/>
</cp:coreProperties>
</file>